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ＭＳ Ｐゴシック" w:hAnsi="ＭＳ Ｐゴシック" w:eastAsia="ＭＳ Ｐゴシック"/>
        </w:rPr>
      </w:pPr>
      <w:r>
        <w:rPr>
          <w:rFonts w:hint="eastAsia" w:ascii="ＭＳ Ｐゴシック" w:hAnsi="ＭＳ Ｐゴシック" w:eastAsia="ＭＳ Ｐゴシック"/>
          <w:sz w:val="32"/>
        </w:rPr>
        <w:drawing>
          <wp:anchor distT="0" distB="0" distL="114300" distR="114300" simplePos="0" relativeHeight="3" behindDoc="0" locked="0" layoutInCell="1" hidden="0" allowOverlap="1">
            <wp:simplePos x="0" y="0"/>
            <wp:positionH relativeFrom="column">
              <wp:posOffset>5080635</wp:posOffset>
            </wp:positionH>
            <wp:positionV relativeFrom="paragraph">
              <wp:posOffset>-159385</wp:posOffset>
            </wp:positionV>
            <wp:extent cx="942975" cy="706755"/>
            <wp:effectExtent l="0" t="0" r="0" b="0"/>
            <wp:wrapNone/>
            <wp:docPr id="1026" name="クーちゃん.jpg"/>
            <a:graphic xmlns:a="http://schemas.openxmlformats.org/drawingml/2006/main">
              <a:graphicData uri="http://schemas.openxmlformats.org/drawingml/2006/picture">
                <pic:pic xmlns:pic="http://schemas.openxmlformats.org/drawingml/2006/picture">
                  <pic:nvPicPr>
                    <pic:cNvPr id="1026" name="クーちゃん.jpg"/>
                    <pic:cNvPicPr/>
                  </pic:nvPicPr>
                  <pic:blipFill>
                    <a:blip r:embed="rId5"/>
                    <a:stretch>
                      <a:fillRect/>
                    </a:stretch>
                  </pic:blipFill>
                  <pic:spPr>
                    <a:xfrm>
                      <a:off x="0" y="0"/>
                      <a:ext cx="942975" cy="706755"/>
                    </a:xfrm>
                    <a:prstGeom prst="rect">
                      <a:avLst/>
                    </a:prstGeom>
                  </pic:spPr>
                </pic:pic>
              </a:graphicData>
            </a:graphic>
          </wp:anchor>
        </w:drawing>
      </w:r>
      <w:r>
        <w:rPr>
          <w:rFonts w:hint="default" w:ascii="ＭＳ Ｐゴシック" w:hAnsi="ＭＳ Ｐゴシック" w:eastAsia="ＭＳ Ｐゴシック"/>
        </w:rPr>
        <mc:AlternateContent>
          <mc:Choice Requires="wps">
            <w:drawing>
              <wp:anchor distT="0" distB="0" distL="114300" distR="114300" simplePos="0" relativeHeight="2" behindDoc="0" locked="0" layoutInCell="1" hidden="0" allowOverlap="1">
                <wp:simplePos x="0" y="0"/>
                <wp:positionH relativeFrom="column">
                  <wp:posOffset>861060</wp:posOffset>
                </wp:positionH>
                <wp:positionV relativeFrom="paragraph">
                  <wp:posOffset>-130810</wp:posOffset>
                </wp:positionV>
                <wp:extent cx="4133850" cy="647700"/>
                <wp:effectExtent l="635" t="635" r="29845" b="10795"/>
                <wp:wrapNone/>
                <wp:docPr id="1027" name="フレーム 1"/>
                <a:graphic xmlns:a="http://schemas.openxmlformats.org/drawingml/2006/main">
                  <a:graphicData uri="http://schemas.microsoft.com/office/word/2010/wordprocessingShape">
                    <wps:wsp>
                      <wps:cNvPr id="1027" name="フレーム 1"/>
                      <wps:cNvSpPr/>
                      <wps:spPr>
                        <a:xfrm>
                          <a:off x="0" y="0"/>
                          <a:ext cx="4133850" cy="647700"/>
                        </a:xfrm>
                        <a:prstGeom prst="fram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default" w:ascii="ＭＳ Ｐゴシック" w:hAnsi="ＭＳ Ｐゴシック" w:eastAsia="ＭＳ Ｐゴシック"/>
                                <w:b w:val="1"/>
                                <w:color w:val="000000" w:themeColor="text1"/>
                                <w:spacing w:val="20"/>
                                <w:sz w:val="32"/>
                              </w:rPr>
                            </w:pPr>
                            <w:r>
                              <w:rPr>
                                <w:rFonts w:hint="eastAsia" w:ascii="ＭＳ Ｐゴシック" w:hAnsi="ＭＳ Ｐゴシック" w:eastAsia="ＭＳ Ｐゴシック"/>
                                <w:b w:val="1"/>
                                <w:color w:val="000000" w:themeColor="text1"/>
                                <w:spacing w:val="20"/>
                                <w:sz w:val="32"/>
                              </w:rPr>
                              <w:t>一般コミュニティ助成事業　概要</w:t>
                            </w:r>
                          </w:p>
                        </w:txbxContent>
                      </wps:txbx>
                      <wps:bodyPr rot="0" vertOverflow="overflow" horzOverflow="overflow" wrap="square" numCol="1" spcCol="0" rtlCol="0" fromWordArt="0" anchor="ctr" anchorCtr="0" forceAA="0" compatLnSpc="1"/>
                    </wps:wsp>
                  </a:graphicData>
                </a:graphic>
              </wp:anchor>
            </w:drawing>
          </mc:Choice>
          <mc:Fallback>
            <w:pict>
              <v:shape id="フレーム 1" style="mso-position-vertical-relative:text;z-index:2;mso-wrap-distance-left:9pt;width:325.5pt;height:51pt;mso-position-horizontal-relative:text;position:absolute;margin-left:67.8pt;margin-top:-10.3pt;mso-wrap-distance-bottom:0pt;mso-wrap-distance-right:9pt;mso-wrap-distance-top:0pt;v-text-anchor:middle;" o:spid="_x0000_s1027" o:allowincell="t" o:allowoverlap="t" filled="f" stroked="t" strokecolor="#000000 [3213]" strokeweight="1pt" o:spt="0" path="m0,0l0,0l21600,0l21600,21600l0,21600xm2700,2700l2700,2700l2700,18900l18900,18900l18900,2700xe">
                <v:path textboxrect="2700,2700,18900,18900" o:connecttype="custom" o:connectlocs="10800,0;0,10800;10800,21600;21600,10800" o:connectangles="270,180,90,0"/>
                <v:fill/>
                <v:stroke linestyle="single" joinstyle="round" dashstyle="solid" filltype="solid"/>
                <v:textbox style="layout-flow:horizontal;">
                  <w:txbxContent>
                    <w:p>
                      <w:pPr>
                        <w:pStyle w:val="0"/>
                        <w:jc w:val="center"/>
                        <w:rPr>
                          <w:rFonts w:hint="default" w:ascii="ＭＳ Ｐゴシック" w:hAnsi="ＭＳ Ｐゴシック" w:eastAsia="ＭＳ Ｐゴシック"/>
                          <w:b w:val="1"/>
                          <w:color w:val="000000" w:themeColor="text1"/>
                          <w:spacing w:val="20"/>
                          <w:sz w:val="32"/>
                        </w:rPr>
                      </w:pPr>
                      <w:r>
                        <w:rPr>
                          <w:rFonts w:hint="eastAsia" w:ascii="ＭＳ Ｐゴシック" w:hAnsi="ＭＳ Ｐゴシック" w:eastAsia="ＭＳ Ｐゴシック"/>
                          <w:b w:val="1"/>
                          <w:color w:val="000000" w:themeColor="text1"/>
                          <w:spacing w:val="20"/>
                          <w:sz w:val="32"/>
                        </w:rPr>
                        <w:t>一般コミュニティ助成事業　概要</w:t>
                      </w:r>
                    </w:p>
                  </w:txbxContent>
                </v:textbox>
                <v:imagedata o:title=""/>
                <w10:wrap type="none" anchorx="text" anchory="text"/>
              </v:shape>
            </w:pict>
          </mc:Fallback>
        </mc:AlternateContent>
      </w:r>
    </w:p>
    <w:p>
      <w:pPr>
        <w:pStyle w:val="0"/>
        <w:jc w:val="center"/>
        <w:rPr>
          <w:rFonts w:hint="default" w:ascii="ＭＳ Ｐゴシック" w:hAnsi="ＭＳ Ｐゴシック" w:eastAsia="ＭＳ Ｐゴシック"/>
          <w:sz w:val="32"/>
        </w:rPr>
      </w:pPr>
    </w:p>
    <w:p>
      <w:pPr>
        <w:pStyle w:val="0"/>
        <w:spacing w:line="340" w:lineRule="exact"/>
        <w:jc w:val="right"/>
        <w:rPr>
          <w:rFonts w:hint="default" w:ascii="ＭＳ Ｐゴシック" w:hAnsi="ＭＳ Ｐゴシック" w:eastAsia="ＭＳ Ｐゴシック"/>
        </w:rPr>
      </w:pPr>
      <w:r>
        <w:rPr>
          <w:rFonts w:hint="eastAsia" w:ascii="ＭＳ Ｐゴシック" w:hAnsi="ＭＳ Ｐゴシック" w:eastAsia="ＭＳ Ｐゴシック"/>
        </w:rPr>
        <w:t>中標津町役場　総務部　政策推進課　協働推進係</w:t>
      </w:r>
    </w:p>
    <w:p>
      <w:pPr>
        <w:pStyle w:val="0"/>
        <w:spacing w:line="340" w:lineRule="exact"/>
        <w:jc w:val="right"/>
        <w:rPr>
          <w:rFonts w:hint="default" w:ascii="ＭＳ Ｐゴシック" w:hAnsi="ＭＳ Ｐゴシック" w:eastAsia="ＭＳ Ｐゴシック"/>
        </w:rPr>
      </w:pPr>
      <w:r>
        <w:rPr>
          <w:rFonts w:hint="eastAsia" w:ascii="ＭＳ Ｐゴシック" w:hAnsi="ＭＳ Ｐゴシック" w:eastAsia="ＭＳ Ｐゴシック"/>
        </w:rPr>
        <w:t xml:space="preserve">[ </w:t>
      </w:r>
      <w:r>
        <w:rPr>
          <w:rFonts w:hint="eastAsia" w:ascii="ＭＳ Ｐゴシック" w:hAnsi="ＭＳ Ｐゴシック" w:eastAsia="ＭＳ Ｐゴシック"/>
        </w:rPr>
        <w:t>℡：</w:t>
      </w:r>
      <w:r>
        <w:rPr>
          <w:rFonts w:hint="eastAsia" w:ascii="ＭＳ Ｐゴシック" w:hAnsi="ＭＳ Ｐゴシック" w:eastAsia="ＭＳ Ｐゴシック"/>
        </w:rPr>
        <w:t>0153-74-0728 ]</w:t>
      </w:r>
    </w:p>
    <w:p>
      <w:pPr>
        <w:pStyle w:val="0"/>
        <w:spacing w:line="340" w:lineRule="exact"/>
        <w:rPr>
          <w:rFonts w:hint="default" w:ascii="ＭＳ Ｐゴシック" w:hAnsi="ＭＳ Ｐゴシック" w:eastAsia="ＭＳ Ｐゴシック"/>
        </w:rPr>
      </w:pPr>
      <w:r>
        <w:rPr>
          <w:rFonts w:hint="eastAsia" w:ascii="ＭＳ Ｐゴシック" w:hAnsi="ＭＳ Ｐゴシック" w:eastAsia="ＭＳ Ｐゴシック"/>
          <w:bdr w:val="single" w:color="auto" w:sz="4" w:space="0"/>
        </w:rPr>
        <w:t>コミュニティ助成とは</w:t>
      </w:r>
    </w:p>
    <w:p>
      <w:pPr>
        <w:pStyle w:val="0"/>
        <w:spacing w:line="340" w:lineRule="exact"/>
        <w:rPr>
          <w:rFonts w:hint="default" w:ascii="ＭＳ Ｐゴシック" w:hAnsi="ＭＳ Ｐゴシック" w:eastAsia="ＭＳ Ｐゴシック"/>
        </w:rPr>
      </w:pPr>
      <w:r>
        <w:rPr>
          <w:rFonts w:hint="eastAsia" w:ascii="ＭＳ Ｐゴシック" w:hAnsi="ＭＳ Ｐゴシック" w:eastAsia="ＭＳ Ｐゴシック"/>
        </w:rPr>
        <w:t>　（一財）自治総合センターが宝くじの社会貢献広報事業として行っている助成事業。</w:t>
      </w:r>
    </w:p>
    <w:p>
      <w:pPr>
        <w:pStyle w:val="0"/>
        <w:spacing w:line="340" w:lineRule="exact"/>
        <w:rPr>
          <w:rFonts w:hint="default" w:ascii="ＭＳ Ｐゴシック" w:hAnsi="ＭＳ Ｐゴシック" w:eastAsia="ＭＳ Ｐゴシック"/>
        </w:rPr>
      </w:pPr>
      <w:r>
        <w:rPr>
          <w:rFonts w:hint="eastAsia" w:ascii="ＭＳ Ｐゴシック" w:hAnsi="ＭＳ Ｐゴシック" w:eastAsia="ＭＳ Ｐゴシック"/>
        </w:rPr>
        <w:t>　コミュニティ活動に必要な備品や集会施設の整備、安全な地域づくりと共生のまちづくり、地域文化への支援や地域の国際化の推進及び活力ある地域づくり等の事業が助成対象。</w:t>
      </w:r>
    </w:p>
    <w:p>
      <w:pPr>
        <w:pStyle w:val="0"/>
        <w:spacing w:line="340" w:lineRule="exact"/>
        <w:rPr>
          <w:rFonts w:hint="default" w:ascii="ＭＳ Ｐゴシック" w:hAnsi="ＭＳ Ｐゴシック" w:eastAsia="ＭＳ Ｐゴシック"/>
        </w:rPr>
      </w:pPr>
    </w:p>
    <w:p>
      <w:pPr>
        <w:pStyle w:val="0"/>
        <w:spacing w:line="340" w:lineRule="exact"/>
        <w:rPr>
          <w:rFonts w:hint="default" w:ascii="ＭＳ Ｐゴシック" w:hAnsi="ＭＳ Ｐゴシック" w:eastAsia="ＭＳ Ｐゴシック"/>
        </w:rPr>
      </w:pPr>
      <w:r>
        <w:rPr>
          <w:rFonts w:hint="eastAsia" w:ascii="ＭＳ Ｐゴシック" w:hAnsi="ＭＳ Ｐゴシック" w:eastAsia="ＭＳ Ｐゴシック"/>
          <w:bdr w:val="single" w:color="auto" w:sz="4" w:space="0"/>
        </w:rPr>
        <w:t>一般コミュニティ助成事業</w:t>
      </w:r>
    </w:p>
    <w:p>
      <w:pPr>
        <w:pStyle w:val="0"/>
        <w:spacing w:line="340" w:lineRule="exact"/>
        <w:rPr>
          <w:rFonts w:hint="default" w:ascii="ＭＳ Ｐゴシック" w:hAnsi="ＭＳ Ｐゴシック" w:eastAsia="ＭＳ Ｐゴシック"/>
        </w:rPr>
      </w:pPr>
      <w:r>
        <w:rPr>
          <w:rFonts w:hint="eastAsia" w:ascii="ＭＳ Ｐゴシック" w:hAnsi="ＭＳ Ｐゴシック" w:eastAsia="ＭＳ Ｐゴシック"/>
        </w:rPr>
        <w:t>　住民が自主的に行うコミュニティ活動の促進を図り、地域の連帯感に基づく自治意識を盛り上げることを目指すもので、</w:t>
      </w:r>
      <w:r>
        <w:rPr>
          <w:rFonts w:hint="eastAsia" w:ascii="ＭＳ Ｐゴシック" w:hAnsi="ＭＳ Ｐゴシック" w:eastAsia="ＭＳ Ｐゴシック"/>
          <w:u w:val="single" w:color="auto"/>
        </w:rPr>
        <w:t>コミュニティ活動に直接必要な設備等（建築物、消耗品を除く）の整備</w:t>
      </w:r>
      <w:r>
        <w:rPr>
          <w:rFonts w:hint="eastAsia" w:ascii="ＭＳ Ｐゴシック" w:hAnsi="ＭＳ Ｐゴシック" w:eastAsia="ＭＳ Ｐゴシック"/>
        </w:rPr>
        <w:t>に関する事業。</w:t>
      </w:r>
    </w:p>
    <w:p>
      <w:pPr>
        <w:pStyle w:val="0"/>
        <w:spacing w:line="340" w:lineRule="exact"/>
        <w:rPr>
          <w:rFonts w:hint="default" w:ascii="ＭＳ Ｐゴシック" w:hAnsi="ＭＳ Ｐゴシック" w:eastAsia="ＭＳ Ｐゴシック"/>
        </w:rPr>
      </w:pPr>
    </w:p>
    <w:p>
      <w:pPr>
        <w:pStyle w:val="0"/>
        <w:spacing w:line="340" w:lineRule="exact"/>
        <w:rPr>
          <w:rFonts w:hint="default" w:ascii="ＭＳ Ｐゴシック" w:hAnsi="ＭＳ Ｐゴシック" w:eastAsia="ＭＳ Ｐゴシック"/>
        </w:rPr>
      </w:pPr>
      <w:r>
        <w:rPr>
          <w:rFonts w:hint="eastAsia" w:ascii="ＭＳ Ｐゴシック" w:hAnsi="ＭＳ Ｐゴシック" w:eastAsia="ＭＳ Ｐゴシック"/>
        </w:rPr>
        <w:t>【事業対象期間】</w:t>
      </w:r>
    </w:p>
    <w:p>
      <w:pPr>
        <w:pStyle w:val="0"/>
        <w:spacing w:line="340" w:lineRule="exact"/>
        <w:rPr>
          <w:rFonts w:hint="default" w:ascii="ＭＳ Ｐゴシック" w:hAnsi="ＭＳ Ｐゴシック" w:eastAsia="ＭＳ Ｐゴシック"/>
        </w:rPr>
      </w:pPr>
      <w:r>
        <w:rPr>
          <w:rFonts w:hint="eastAsia" w:ascii="ＭＳ Ｐゴシック" w:hAnsi="ＭＳ Ｐゴシック" w:eastAsia="ＭＳ Ｐゴシック"/>
        </w:rPr>
        <w:t>　令和９年４月１日以降に実施し、令和１０年３月３１日までに完了するもの。</w:t>
      </w:r>
    </w:p>
    <w:p>
      <w:pPr>
        <w:pStyle w:val="0"/>
        <w:spacing w:line="340" w:lineRule="exact"/>
        <w:rPr>
          <w:rFonts w:hint="default" w:ascii="ＭＳ Ｐゴシック" w:hAnsi="ＭＳ Ｐゴシック" w:eastAsia="ＭＳ Ｐゴシック"/>
        </w:rPr>
      </w:pPr>
    </w:p>
    <w:p>
      <w:pPr>
        <w:pStyle w:val="0"/>
        <w:spacing w:line="340" w:lineRule="exact"/>
        <w:rPr>
          <w:rFonts w:hint="default" w:ascii="ＭＳ Ｐゴシック" w:hAnsi="ＭＳ Ｐゴシック" w:eastAsia="ＭＳ Ｐゴシック"/>
        </w:rPr>
      </w:pPr>
      <w:r>
        <w:rPr>
          <w:rFonts w:hint="eastAsia" w:ascii="ＭＳ Ｐゴシック" w:hAnsi="ＭＳ Ｐゴシック" w:eastAsia="ＭＳ Ｐゴシック"/>
        </w:rPr>
        <w:t>【助成事業の実施主体】</w:t>
      </w:r>
    </w:p>
    <w:p>
      <w:pPr>
        <w:pStyle w:val="0"/>
        <w:spacing w:line="340" w:lineRule="exact"/>
        <w:rPr>
          <w:rFonts w:hint="default" w:ascii="ＭＳ Ｐゴシック" w:hAnsi="ＭＳ Ｐゴシック" w:eastAsia="ＭＳ Ｐゴシック"/>
        </w:rPr>
      </w:pPr>
      <w:r>
        <w:rPr>
          <w:rFonts w:hint="eastAsia" w:ascii="ＭＳ Ｐゴシック" w:hAnsi="ＭＳ Ｐゴシック" w:eastAsia="ＭＳ Ｐゴシック"/>
        </w:rPr>
        <w:t>　町又は、町が認めるコミュニティ組織（町内会等）</w:t>
      </w:r>
    </w:p>
    <w:p>
      <w:pPr>
        <w:pStyle w:val="0"/>
        <w:spacing w:line="340" w:lineRule="exact"/>
        <w:rPr>
          <w:rFonts w:hint="default" w:ascii="ＭＳ Ｐゴシック" w:hAnsi="ＭＳ Ｐゴシック" w:eastAsia="ＭＳ Ｐゴシック"/>
        </w:rPr>
      </w:pPr>
    </w:p>
    <w:p>
      <w:pPr>
        <w:pStyle w:val="0"/>
        <w:spacing w:line="340" w:lineRule="exact"/>
        <w:rPr>
          <w:rFonts w:hint="default" w:ascii="ＭＳ Ｐゴシック" w:hAnsi="ＭＳ Ｐゴシック" w:eastAsia="ＭＳ Ｐゴシック"/>
        </w:rPr>
      </w:pPr>
      <w:r>
        <w:rPr>
          <w:rFonts w:hint="eastAsia" w:ascii="ＭＳ Ｐゴシック" w:hAnsi="ＭＳ Ｐゴシック" w:eastAsia="ＭＳ Ｐゴシック"/>
        </w:rPr>
        <w:t>【助成金額】</w:t>
      </w:r>
    </w:p>
    <w:p>
      <w:pPr>
        <w:pStyle w:val="0"/>
        <w:spacing w:line="340" w:lineRule="exact"/>
        <w:rPr>
          <w:rFonts w:hint="default" w:ascii="ＭＳ Ｐゴシック" w:hAnsi="ＭＳ Ｐゴシック" w:eastAsia="ＭＳ Ｐゴシック"/>
        </w:rPr>
      </w:pPr>
      <w:r>
        <w:rPr>
          <w:rFonts w:hint="eastAsia" w:ascii="ＭＳ Ｐゴシック" w:hAnsi="ＭＳ Ｐゴシック" w:eastAsia="ＭＳ Ｐゴシック"/>
        </w:rPr>
        <w:t>　１００万円～２５０万円　（１０万円単位、１０万円未満を切り捨て）</w:t>
      </w:r>
    </w:p>
    <w:p>
      <w:pPr>
        <w:pStyle w:val="0"/>
        <w:spacing w:line="340" w:lineRule="exact"/>
        <w:rPr>
          <w:rFonts w:hint="default" w:ascii="ＭＳ Ｐゴシック" w:hAnsi="ＭＳ Ｐゴシック" w:eastAsia="ＭＳ Ｐゴシック"/>
        </w:rPr>
      </w:pPr>
    </w:p>
    <w:p>
      <w:pPr>
        <w:pStyle w:val="0"/>
        <w:spacing w:line="340" w:lineRule="exact"/>
        <w:rPr>
          <w:rFonts w:hint="default" w:ascii="ＭＳ Ｐゴシック" w:hAnsi="ＭＳ Ｐゴシック" w:eastAsia="ＭＳ Ｐゴシック"/>
        </w:rPr>
      </w:pPr>
      <w:r>
        <w:rPr>
          <w:rFonts w:hint="eastAsia" w:ascii="ＭＳ Ｐゴシック" w:hAnsi="ＭＳ Ｐゴシック" w:eastAsia="ＭＳ Ｐゴシック"/>
        </w:rPr>
        <w:t>【助成対象経費】</w:t>
      </w:r>
    </w:p>
    <w:p>
      <w:pPr>
        <w:pStyle w:val="0"/>
        <w:spacing w:line="340" w:lineRule="exact"/>
        <w:rPr>
          <w:rFonts w:hint="default" w:ascii="ＭＳ Ｐゴシック" w:hAnsi="ＭＳ Ｐゴシック" w:eastAsia="ＭＳ Ｐゴシック"/>
        </w:rPr>
      </w:pPr>
      <w:r>
        <w:rPr>
          <w:rFonts w:hint="eastAsia" w:ascii="ＭＳ Ｐゴシック" w:hAnsi="ＭＳ Ｐゴシック" w:eastAsia="ＭＳ Ｐゴシック"/>
        </w:rPr>
        <w:t>　事業実施に要する経費の総額以内の額。（＝ほぼ全額、助成金で賄うことができる。）</w:t>
      </w:r>
    </w:p>
    <w:p>
      <w:pPr>
        <w:pStyle w:val="0"/>
        <w:spacing w:line="340" w:lineRule="exact"/>
        <w:rPr>
          <w:rFonts w:hint="default" w:ascii="ＭＳ Ｐゴシック" w:hAnsi="ＭＳ Ｐゴシック" w:eastAsia="ＭＳ Ｐゴシック"/>
        </w:rPr>
      </w:pPr>
    </w:p>
    <w:p>
      <w:pPr>
        <w:pStyle w:val="0"/>
        <w:spacing w:line="340" w:lineRule="exact"/>
        <w:rPr>
          <w:rFonts w:hint="default" w:ascii="ＭＳ Ｐゴシック" w:hAnsi="ＭＳ Ｐゴシック" w:eastAsia="ＭＳ Ｐゴシック"/>
        </w:rPr>
      </w:pPr>
      <w:r>
        <w:rPr>
          <w:rFonts w:hint="eastAsia" w:ascii="ＭＳ Ｐゴシック" w:hAnsi="ＭＳ Ｐゴシック" w:eastAsia="ＭＳ Ｐゴシック"/>
        </w:rPr>
        <w:t>【宝くじの広報表示】</w:t>
      </w:r>
    </w:p>
    <w:p>
      <w:pPr>
        <w:pStyle w:val="0"/>
        <w:spacing w:line="340" w:lineRule="exact"/>
        <w:rPr>
          <w:rFonts w:hint="default" w:ascii="ＭＳ Ｐゴシック" w:hAnsi="ＭＳ Ｐゴシック" w:eastAsia="ＭＳ Ｐゴシック"/>
        </w:rPr>
      </w:pPr>
      <w:r>
        <w:rPr>
          <w:rFonts w:hint="eastAsia" w:ascii="ＭＳ Ｐゴシック" w:hAnsi="ＭＳ Ｐゴシック" w:eastAsia="ＭＳ Ｐゴシック"/>
        </w:rPr>
        <w:t>　事業で整備した全ての備品等に、宝くじの広報表示を行う。（ペイント、印刷、シール貼付等）</w:t>
      </w:r>
    </w:p>
    <w:p>
      <w:pPr>
        <w:pStyle w:val="0"/>
        <w:spacing w:line="340" w:lineRule="exact"/>
        <w:rPr>
          <w:rFonts w:hint="default" w:ascii="ＭＳ Ｐゴシック" w:hAnsi="ＭＳ Ｐゴシック" w:eastAsia="ＭＳ Ｐゴシック"/>
        </w:rPr>
      </w:pPr>
    </w:p>
    <w:p>
      <w:pPr>
        <w:pStyle w:val="0"/>
        <w:spacing w:line="340" w:lineRule="exact"/>
        <w:rPr>
          <w:rFonts w:hint="default" w:ascii="ＭＳ Ｐゴシック" w:hAnsi="ＭＳ Ｐゴシック" w:eastAsia="ＭＳ Ｐゴシック"/>
        </w:rPr>
      </w:pPr>
      <w:r>
        <w:rPr>
          <w:rFonts w:hint="eastAsia" w:ascii="ＭＳ Ｐゴシック" w:hAnsi="ＭＳ Ｐゴシック" w:eastAsia="ＭＳ Ｐゴシック"/>
        </w:rPr>
        <w:t>【助成枠】</w:t>
      </w:r>
    </w:p>
    <w:p>
      <w:pPr>
        <w:pStyle w:val="0"/>
        <w:spacing w:line="340" w:lineRule="exact"/>
        <w:rPr>
          <w:rFonts w:hint="default" w:ascii="ＭＳ Ｐゴシック" w:hAnsi="ＭＳ Ｐゴシック" w:eastAsia="ＭＳ Ｐゴシック"/>
        </w:rPr>
      </w:pPr>
      <w:r>
        <w:rPr>
          <w:rFonts w:hint="eastAsia" w:ascii="ＭＳ Ｐゴシック" w:hAnsi="ＭＳ Ｐゴシック" w:eastAsia="ＭＳ Ｐゴシック"/>
        </w:rPr>
        <w:t>　中標津町においては</w:t>
      </w:r>
      <w:r>
        <w:rPr>
          <w:rFonts w:hint="eastAsia" w:ascii="ＭＳ Ｐゴシック" w:hAnsi="ＭＳ Ｐゴシック" w:eastAsia="ＭＳ Ｐゴシック"/>
          <w:u w:val="single" w:color="auto"/>
        </w:rPr>
        <w:t>１年度につき２事業まで</w:t>
      </w:r>
      <w:r>
        <w:rPr>
          <w:rFonts w:hint="eastAsia" w:ascii="ＭＳ Ｐゴシック" w:hAnsi="ＭＳ Ｐゴシック" w:eastAsia="ＭＳ Ｐゴシック"/>
        </w:rPr>
        <w:t>。</w:t>
      </w:r>
    </w:p>
    <w:p>
      <w:pPr>
        <w:pStyle w:val="0"/>
        <w:spacing w:line="340" w:lineRule="exact"/>
        <w:rPr>
          <w:rFonts w:hint="default" w:ascii="ＭＳ Ｐゴシック" w:hAnsi="ＭＳ Ｐゴシック" w:eastAsia="ＭＳ Ｐゴシック"/>
        </w:rPr>
      </w:pPr>
      <w:r>
        <w:rPr>
          <w:rFonts w:hint="eastAsia" w:ascii="ＭＳ Ｐゴシック" w:hAnsi="ＭＳ Ｐゴシック" w:eastAsia="ＭＳ Ｐゴシック"/>
        </w:rPr>
        <w:t>　町内会からの申請が複数あった場合は抽選により２団体を選定し、さらにその中でセンターの採択に向けての優先順位を決定します。</w:t>
      </w:r>
    </w:p>
    <w:p>
      <w:pPr>
        <w:pStyle w:val="0"/>
        <w:spacing w:line="340" w:lineRule="exact"/>
        <w:ind w:left="0" w:leftChars="0" w:firstLine="105" w:firstLineChars="50"/>
        <w:rPr>
          <w:rFonts w:hint="default" w:ascii="ＭＳ Ｐゴシック" w:hAnsi="ＭＳ Ｐゴシック" w:eastAsia="ＭＳ Ｐゴシック"/>
        </w:rPr>
      </w:pPr>
      <w:r>
        <w:rPr>
          <w:rFonts w:hint="eastAsia" w:ascii="ＭＳ Ｐゴシック" w:hAnsi="ＭＳ Ｐゴシック" w:eastAsia="ＭＳ Ｐゴシック"/>
        </w:rPr>
        <w:t>なお、抽選できる団体の選定にあたっては、</w:t>
      </w:r>
      <w:r>
        <w:rPr>
          <w:rFonts w:hint="eastAsia" w:ascii="ＭＳ Ｐゴシック" w:hAnsi="ＭＳ Ｐゴシック" w:eastAsia="ＭＳ Ｐゴシック"/>
          <w:u w:val="single" w:color="auto"/>
        </w:rPr>
        <w:t>これまでに中標津町コミュニティ助成事業補助金要綱に規定する補助金の交付を受けたことがない団体のほか、前年度に中標津町から補助対象団体の選定を受け一般財団法人自治総合センターに申請したが、全体枠で不採択になった団体を他に優先します。</w:t>
      </w:r>
    </w:p>
    <w:p>
      <w:pPr>
        <w:pStyle w:val="0"/>
        <w:spacing w:line="340" w:lineRule="exact"/>
        <w:ind w:firstLine="105" w:firstLineChars="50"/>
        <w:rPr>
          <w:rFonts w:hint="default" w:ascii="ＭＳ Ｐゴシック" w:hAnsi="ＭＳ Ｐゴシック" w:eastAsia="ＭＳ Ｐゴシック"/>
        </w:rPr>
      </w:pPr>
      <w:r>
        <w:rPr>
          <w:rFonts w:hint="eastAsia" w:ascii="ＭＳ Ｐゴシック" w:hAnsi="ＭＳ Ｐゴシック" w:eastAsia="ＭＳ Ｐゴシック"/>
        </w:rPr>
        <w:t>また、過去</w:t>
      </w:r>
      <w:r>
        <w:rPr>
          <w:rFonts w:hint="eastAsia" w:ascii="ＭＳ Ｐゴシック" w:hAnsi="ＭＳ Ｐゴシック" w:eastAsia="ＭＳ Ｐゴシック"/>
        </w:rPr>
        <w:t>10</w:t>
      </w:r>
      <w:r>
        <w:rPr>
          <w:rFonts w:hint="eastAsia" w:ascii="ＭＳ Ｐゴシック" w:hAnsi="ＭＳ Ｐゴシック" w:eastAsia="ＭＳ Ｐゴシック"/>
        </w:rPr>
        <w:t>年の間に当該助成を受けている団体は申請できません。</w:t>
      </w:r>
    </w:p>
    <w:p>
      <w:pPr>
        <w:pStyle w:val="0"/>
        <w:spacing w:line="340" w:lineRule="exact"/>
        <w:rPr>
          <w:rFonts w:hint="default" w:ascii="ＭＳ Ｐゴシック" w:hAnsi="ＭＳ Ｐゴシック" w:eastAsia="ＭＳ Ｐゴシック"/>
        </w:rPr>
      </w:pPr>
      <w:r>
        <w:rPr>
          <w:rFonts w:hint="eastAsia" w:ascii="ＭＳ Ｐゴシック" w:hAnsi="ＭＳ Ｐゴシック" w:eastAsia="ＭＳ Ｐゴシック"/>
        </w:rPr>
        <w:t>＜助成申請にあたっての留意事項＞</w:t>
      </w:r>
    </w:p>
    <w:p>
      <w:pPr>
        <w:pStyle w:val="0"/>
        <w:spacing w:line="340" w:lineRule="exact"/>
        <w:rPr>
          <w:rFonts w:hint="default" w:ascii="ＭＳ Ｐゴシック" w:hAnsi="ＭＳ Ｐゴシック" w:eastAsia="ＭＳ Ｐゴシック"/>
        </w:rPr>
      </w:pPr>
      <w:r>
        <w:rPr>
          <w:rFonts w:hint="eastAsia" w:ascii="ＭＳ Ｐゴシック" w:hAnsi="ＭＳ Ｐゴシック" w:eastAsia="ＭＳ Ｐゴシック"/>
        </w:rPr>
        <w:t>　・</w:t>
      </w:r>
      <w:r>
        <w:rPr>
          <w:rFonts w:hint="eastAsia" w:ascii="ＭＳ Ｐゴシック" w:hAnsi="ＭＳ Ｐゴシック" w:eastAsia="ＭＳ Ｐゴシック"/>
          <w:u w:val="single" w:color="auto"/>
        </w:rPr>
        <w:t>コミュニティ助成事業の申請を希望する場合は、９月</w:t>
      </w:r>
      <w:r>
        <w:rPr>
          <w:rFonts w:hint="eastAsia" w:ascii="ＭＳ Ｐゴシック" w:hAnsi="ＭＳ Ｐゴシック" w:eastAsia="ＭＳ Ｐゴシック"/>
          <w:u w:val="single" w:color="auto"/>
        </w:rPr>
        <w:t>14</w:t>
      </w:r>
      <w:r>
        <w:rPr>
          <w:rFonts w:hint="eastAsia" w:ascii="ＭＳ Ｐゴシック" w:hAnsi="ＭＳ Ｐゴシック" w:eastAsia="ＭＳ Ｐゴシック"/>
          <w:u w:val="single" w:color="auto"/>
        </w:rPr>
        <w:t>日（月）までに電話・メール等で申し出てください。</w:t>
      </w:r>
    </w:p>
    <w:p>
      <w:pPr>
        <w:pStyle w:val="0"/>
        <w:spacing w:line="340" w:lineRule="exact"/>
        <w:ind w:left="0" w:leftChars="0" w:hanging="210" w:hangingChars="100"/>
        <w:rPr>
          <w:rFonts w:hint="default" w:ascii="ＭＳ Ｐゴシック" w:hAnsi="ＭＳ Ｐゴシック" w:eastAsia="ＭＳ Ｐゴシック"/>
        </w:rPr>
      </w:pPr>
      <w:r>
        <w:rPr>
          <w:rFonts w:hint="eastAsia" w:ascii="ＭＳ Ｐゴシック" w:hAnsi="ＭＳ Ｐゴシック" w:eastAsia="ＭＳ Ｐゴシック"/>
        </w:rPr>
        <w:t>　・備品等の管理運営規程等を整備する。また、購入した備品等の名称、規格、数量等がわかるように備品台帳等を整備すること。</w:t>
      </w:r>
    </w:p>
    <w:p>
      <w:pPr>
        <w:pStyle w:val="0"/>
        <w:spacing w:line="340" w:lineRule="exact"/>
        <w:ind w:left="246" w:hanging="246" w:hangingChars="117"/>
        <w:rPr>
          <w:rFonts w:hint="default" w:ascii="ＭＳ Ｐゴシック" w:hAnsi="ＭＳ Ｐゴシック" w:eastAsia="ＭＳ Ｐゴシック"/>
        </w:rPr>
      </w:pPr>
      <w:r>
        <w:rPr>
          <w:rFonts w:hint="eastAsia" w:ascii="ＭＳ Ｐゴシック" w:hAnsi="ＭＳ Ｐゴシック" w:eastAsia="ＭＳ Ｐゴシック"/>
        </w:rPr>
        <w:t>　・町内の販売店等で購入できる備品等については、原則町内の販売店から購入すること。</w:t>
      </w:r>
    </w:p>
    <w:p>
      <w:pPr>
        <w:pStyle w:val="0"/>
        <w:spacing w:line="340" w:lineRule="exact"/>
        <w:ind w:left="210" w:hanging="210" w:hangingChars="100"/>
        <w:rPr>
          <w:rFonts w:hint="default" w:ascii="ＭＳ Ｐゴシック" w:hAnsi="ＭＳ Ｐゴシック" w:eastAsia="ＭＳ Ｐゴシック"/>
        </w:rPr>
      </w:pPr>
      <w:r>
        <w:rPr>
          <w:rFonts w:hint="eastAsia" w:ascii="ＭＳ Ｐゴシック" w:hAnsi="ＭＳ Ｐゴシック" w:eastAsia="ＭＳ Ｐゴシック"/>
        </w:rPr>
        <w:t>　・見積書については、</w:t>
      </w:r>
      <w:r>
        <w:rPr>
          <w:rFonts w:hint="eastAsia" w:ascii="ＭＳ Ｐゴシック" w:hAnsi="ＭＳ Ｐゴシック" w:eastAsia="ＭＳ Ｐゴシック"/>
          <w:u w:val="single" w:color="auto"/>
        </w:rPr>
        <w:t>必ず２者以上の業者から徴収し</w:t>
      </w:r>
      <w:r>
        <w:rPr>
          <w:rFonts w:hint="eastAsia" w:ascii="ＭＳ Ｐゴシック" w:hAnsi="ＭＳ Ｐゴシック" w:eastAsia="ＭＳ Ｐゴシック"/>
        </w:rPr>
        <w:t>、添付すること。</w:t>
      </w:r>
    </w:p>
    <w:p>
      <w:pPr>
        <w:pStyle w:val="0"/>
        <w:spacing w:line="340" w:lineRule="exact"/>
        <w:ind w:left="210" w:hanging="210" w:hangingChars="100"/>
        <w:rPr>
          <w:rFonts w:hint="default" w:ascii="ＭＳ Ｐゴシック" w:hAnsi="ＭＳ Ｐゴシック" w:eastAsia="ＭＳ Ｐゴシック"/>
        </w:rPr>
      </w:pPr>
      <w:r>
        <w:rPr>
          <w:rFonts w:hint="eastAsia" w:ascii="ＭＳ Ｐゴシック" w:hAnsi="ＭＳ Ｐゴシック" w:eastAsia="ＭＳ Ｐゴシック"/>
        </w:rPr>
        <w:t>　</w:t>
      </w:r>
      <w:r>
        <w:rPr>
          <w:rFonts w:hint="eastAsia" w:ascii="ＭＳ Ｐゴシック" w:hAnsi="ＭＳ Ｐゴシック" w:eastAsia="ＭＳ Ｐゴシック"/>
          <w:u w:val="single" w:color="auto"/>
        </w:rPr>
        <w:t>・申請をしても、全国枠の制約等で採択されないことがある。</w:t>
      </w:r>
    </w:p>
    <w:p>
      <w:pPr>
        <w:pStyle w:val="0"/>
        <w:spacing w:line="340" w:lineRule="exact"/>
        <w:ind w:left="210" w:hanging="210" w:hangingChars="100"/>
        <w:rPr>
          <w:rFonts w:hint="default" w:ascii="ＭＳ Ｐゴシック" w:hAnsi="ＭＳ Ｐゴシック" w:eastAsia="ＭＳ Ｐゴシック"/>
        </w:rPr>
      </w:pPr>
    </w:p>
    <w:p>
      <w:pPr>
        <w:pStyle w:val="0"/>
        <w:ind w:left="240" w:hanging="240" w:hangingChars="100"/>
        <w:jc w:val="center"/>
        <w:rPr>
          <w:rFonts w:hint="default" w:ascii="ＭＳ Ｐゴシック" w:hAnsi="ＭＳ Ｐゴシック" w:eastAsia="ＭＳ Ｐゴシック"/>
          <w:sz w:val="24"/>
        </w:rPr>
      </w:pPr>
      <w:r>
        <w:rPr>
          <w:rFonts w:hint="eastAsia" w:ascii="ＭＳ Ｐゴシック" w:hAnsi="ＭＳ Ｐゴシック" w:eastAsia="ＭＳ Ｐゴシック"/>
          <w:sz w:val="24"/>
          <w:bdr w:val="single" w:color="auto" w:sz="4" w:space="0"/>
        </w:rPr>
        <w:t>中標津町　一般コミュニティ助成事業　実績</w:t>
      </w:r>
    </w:p>
    <w:p>
      <w:pPr>
        <w:pStyle w:val="0"/>
        <w:rPr>
          <w:rFonts w:hint="default" w:ascii="ＭＳ Ｐゴシック" w:hAnsi="ＭＳ Ｐゴシック" w:eastAsia="ＭＳ Ｐゴシック"/>
        </w:rPr>
      </w:pPr>
    </w:p>
    <w:tbl>
      <w:tblPr>
        <w:tblStyle w:val="11"/>
        <w:tblW w:w="9654" w:type="dxa"/>
        <w:tblInd w:w="84" w:type="dxa"/>
        <w:tblLayout w:type="fixed"/>
        <w:tblCellMar>
          <w:left w:w="99" w:type="dxa"/>
          <w:right w:w="99" w:type="dxa"/>
        </w:tblCellMar>
        <w:tblLook w:firstRow="1" w:lastRow="0" w:firstColumn="1" w:lastColumn="0" w:noHBand="0" w:noVBand="1" w:val="04A0"/>
      </w:tblPr>
      <w:tblGrid>
        <w:gridCol w:w="866"/>
        <w:gridCol w:w="1134"/>
        <w:gridCol w:w="3155"/>
        <w:gridCol w:w="4499"/>
      </w:tblGrid>
      <w:tr>
        <w:trPr>
          <w:trHeight w:val="645" w:hRule="atLeast"/>
        </w:trPr>
        <w:tc>
          <w:tcPr>
            <w:tcW w:w="866" w:type="dxa"/>
            <w:tcBorders>
              <w:top w:val="single" w:color="auto" w:sz="8" w:space="0"/>
              <w:left w:val="single" w:color="auto" w:sz="8" w:space="0"/>
              <w:bottom w:val="doub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年度</w:t>
            </w:r>
          </w:p>
        </w:tc>
        <w:tc>
          <w:tcPr>
            <w:tcW w:w="1134" w:type="dxa"/>
            <w:tcBorders>
              <w:top w:val="single" w:color="auto" w:sz="8" w:space="0"/>
              <w:left w:val="nil"/>
              <w:bottom w:val="doub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実施団体</w:t>
            </w:r>
          </w:p>
        </w:tc>
        <w:tc>
          <w:tcPr>
            <w:tcW w:w="3155" w:type="dxa"/>
            <w:tcBorders>
              <w:top w:val="single" w:color="auto" w:sz="8" w:space="0"/>
              <w:left w:val="nil"/>
              <w:bottom w:val="doub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事業名</w:t>
            </w:r>
          </w:p>
        </w:tc>
        <w:tc>
          <w:tcPr>
            <w:tcW w:w="4499" w:type="dxa"/>
            <w:tcBorders>
              <w:top w:val="single" w:color="auto" w:sz="8" w:space="0"/>
              <w:left w:val="nil"/>
              <w:bottom w:val="double" w:color="auto" w:sz="4" w:space="0"/>
              <w:right w:val="single" w:color="auto" w:sz="8" w:space="0"/>
              <w:tl2br w:val="none" w:color="auto" w:sz="0" w:space="0"/>
              <w:tr2bl w:val="none" w:color="auto" w:sz="0" w:space="0"/>
            </w:tcBorders>
            <w:shd w:val="clear" w:color="auto" w:fill="auto"/>
            <w:vAlign w:val="center"/>
          </w:tcPr>
          <w:p>
            <w:pPr>
              <w:pStyle w:val="0"/>
              <w:widowControl w:val="1"/>
              <w:spacing w:line="240" w:lineRule="exact"/>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事業内容等</w:t>
            </w:r>
          </w:p>
        </w:tc>
      </w:tr>
      <w:tr>
        <w:trPr>
          <w:trHeight w:val="510" w:hRule="atLeast"/>
        </w:trPr>
        <w:tc>
          <w:tcPr>
            <w:tcW w:w="866" w:type="dxa"/>
            <w:tcBorders>
              <w:top w:val="nil"/>
              <w:left w:val="single" w:color="auto" w:sz="8"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Ｈ２１</w:t>
            </w:r>
          </w:p>
        </w:tc>
        <w:tc>
          <w:tcPr>
            <w:tcW w:w="1134"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町内会</w:t>
            </w:r>
          </w:p>
        </w:tc>
        <w:tc>
          <w:tcPr>
            <w:tcW w:w="3155"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イベント用品の整備</w:t>
            </w:r>
          </w:p>
        </w:tc>
        <w:tc>
          <w:tcPr>
            <w:tcW w:w="4499" w:type="dxa"/>
            <w:tcBorders>
              <w:top w:val="nil"/>
              <w:left w:val="nil"/>
              <w:bottom w:val="single" w:color="auto" w:sz="4" w:space="0"/>
              <w:right w:val="single" w:color="auto" w:sz="8"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テント、太鼓、放送設備、はんてん、浴衣　他</w:t>
            </w:r>
          </w:p>
        </w:tc>
      </w:tr>
      <w:tr>
        <w:trPr>
          <w:trHeight w:val="510" w:hRule="atLeast"/>
        </w:trPr>
        <w:tc>
          <w:tcPr>
            <w:tcW w:w="866" w:type="dxa"/>
            <w:tcBorders>
              <w:top w:val="nil"/>
              <w:left w:val="single" w:color="auto" w:sz="8"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Ｈ２３</w:t>
            </w:r>
          </w:p>
        </w:tc>
        <w:tc>
          <w:tcPr>
            <w:tcW w:w="1134"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町内会</w:t>
            </w:r>
          </w:p>
        </w:tc>
        <w:tc>
          <w:tcPr>
            <w:tcW w:w="3155"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太鼓の整備</w:t>
            </w:r>
          </w:p>
        </w:tc>
        <w:tc>
          <w:tcPr>
            <w:tcW w:w="4499" w:type="dxa"/>
            <w:tcBorders>
              <w:top w:val="nil"/>
              <w:left w:val="nil"/>
              <w:bottom w:val="single" w:color="auto" w:sz="4" w:space="0"/>
              <w:right w:val="single" w:color="auto" w:sz="8"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長胴太鼓５台、長胴四本柱台　３台</w:t>
            </w:r>
          </w:p>
        </w:tc>
      </w:tr>
      <w:tr>
        <w:trPr>
          <w:trHeight w:val="510" w:hRule="atLeast"/>
        </w:trPr>
        <w:tc>
          <w:tcPr>
            <w:tcW w:w="866" w:type="dxa"/>
            <w:tcBorders>
              <w:top w:val="nil"/>
              <w:left w:val="single" w:color="auto" w:sz="8"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Ｈ２４</w:t>
            </w:r>
          </w:p>
        </w:tc>
        <w:tc>
          <w:tcPr>
            <w:tcW w:w="1134"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町内会</w:t>
            </w:r>
          </w:p>
        </w:tc>
        <w:tc>
          <w:tcPr>
            <w:tcW w:w="3155"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イベント用品の整備</w:t>
            </w:r>
          </w:p>
        </w:tc>
        <w:tc>
          <w:tcPr>
            <w:tcW w:w="4499" w:type="dxa"/>
            <w:tcBorders>
              <w:top w:val="nil"/>
              <w:left w:val="nil"/>
              <w:bottom w:val="single" w:color="auto" w:sz="4" w:space="0"/>
              <w:right w:val="single" w:color="auto" w:sz="8"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テーブル、テント、折りたたみイス、放送機材、発電機</w:t>
            </w:r>
          </w:p>
        </w:tc>
      </w:tr>
      <w:tr>
        <w:trPr>
          <w:trHeight w:val="510" w:hRule="atLeast"/>
        </w:trPr>
        <w:tc>
          <w:tcPr>
            <w:tcW w:w="866" w:type="dxa"/>
            <w:tcBorders>
              <w:top w:val="nil"/>
              <w:left w:val="single" w:color="auto" w:sz="8"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Ｈ２５</w:t>
            </w:r>
          </w:p>
        </w:tc>
        <w:tc>
          <w:tcPr>
            <w:tcW w:w="1134"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町内会</w:t>
            </w:r>
          </w:p>
        </w:tc>
        <w:tc>
          <w:tcPr>
            <w:tcW w:w="3155"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放送機材他コミュニティ活動備品の整備</w:t>
            </w:r>
          </w:p>
        </w:tc>
        <w:tc>
          <w:tcPr>
            <w:tcW w:w="4499" w:type="dxa"/>
            <w:tcBorders>
              <w:top w:val="nil"/>
              <w:left w:val="nil"/>
              <w:bottom w:val="single" w:color="auto" w:sz="4" w:space="0"/>
              <w:right w:val="single" w:color="auto" w:sz="8"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放送機材、テント、移動式かまど、発電機、綿菓子機など</w:t>
            </w:r>
          </w:p>
        </w:tc>
      </w:tr>
      <w:tr>
        <w:trPr>
          <w:trHeight w:val="510" w:hRule="atLeast"/>
        </w:trPr>
        <w:tc>
          <w:tcPr>
            <w:tcW w:w="866" w:type="dxa"/>
            <w:tcBorders>
              <w:top w:val="single" w:color="auto" w:sz="4" w:space="0"/>
              <w:left w:val="single" w:color="auto" w:sz="8"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Ｈ２６</w:t>
            </w:r>
          </w:p>
        </w:tc>
        <w:tc>
          <w:tcPr>
            <w:tcW w:w="1134"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町内会</w:t>
            </w:r>
          </w:p>
        </w:tc>
        <w:tc>
          <w:tcPr>
            <w:tcW w:w="3155"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放送機材、行事用テント他コミュニティ活動備品の整備</w:t>
            </w:r>
          </w:p>
        </w:tc>
        <w:tc>
          <w:tcPr>
            <w:tcW w:w="4499" w:type="dxa"/>
            <w:tcBorders>
              <w:top w:val="single" w:color="auto" w:sz="4" w:space="0"/>
              <w:left w:val="nil"/>
              <w:bottom w:val="single" w:color="auto" w:sz="4" w:space="0"/>
              <w:right w:val="single" w:color="auto" w:sz="8"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放送機材、テント、発電機、テーブル・イス、もちつき用品など</w:t>
            </w:r>
          </w:p>
        </w:tc>
      </w:tr>
      <w:tr>
        <w:trPr>
          <w:trHeight w:val="510" w:hRule="atLeast"/>
        </w:trPr>
        <w:tc>
          <w:tcPr>
            <w:tcW w:w="866" w:type="dxa"/>
            <w:tcBorders>
              <w:top w:val="single" w:color="auto" w:sz="4" w:space="0"/>
              <w:left w:val="single" w:color="auto" w:sz="8"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Ｈ２８</w:t>
            </w:r>
          </w:p>
        </w:tc>
        <w:tc>
          <w:tcPr>
            <w:tcW w:w="1134"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町内会</w:t>
            </w:r>
          </w:p>
        </w:tc>
        <w:tc>
          <w:tcPr>
            <w:tcW w:w="3155"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放送・映像機器、行事用テント他コミュニティ活動備品の整備</w:t>
            </w:r>
          </w:p>
        </w:tc>
        <w:tc>
          <w:tcPr>
            <w:tcW w:w="4499" w:type="dxa"/>
            <w:tcBorders>
              <w:top w:val="single" w:color="auto" w:sz="4" w:space="0"/>
              <w:left w:val="nil"/>
              <w:bottom w:val="single" w:color="auto" w:sz="4" w:space="0"/>
              <w:right w:val="single" w:color="auto" w:sz="8"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放送・映像機器、発電機、投光器、ブルゾン、キャップ、テント、ベンチ</w:t>
            </w:r>
          </w:p>
        </w:tc>
      </w:tr>
      <w:tr>
        <w:trPr>
          <w:trHeight w:val="510" w:hRule="atLeast"/>
        </w:trPr>
        <w:tc>
          <w:tcPr>
            <w:tcW w:w="866" w:type="dxa"/>
            <w:tcBorders>
              <w:top w:val="single" w:color="auto" w:sz="4" w:space="0"/>
              <w:left w:val="single" w:color="auto" w:sz="8" w:space="0"/>
              <w:bottom w:val="single" w:color="auto" w:sz="12"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Ｈ２９</w:t>
            </w:r>
          </w:p>
        </w:tc>
        <w:tc>
          <w:tcPr>
            <w:tcW w:w="1134" w:type="dxa"/>
            <w:tcBorders>
              <w:top w:val="single" w:color="auto" w:sz="4" w:space="0"/>
              <w:left w:val="nil"/>
              <w:bottom w:val="single" w:color="auto" w:sz="12"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町内会</w:t>
            </w:r>
          </w:p>
        </w:tc>
        <w:tc>
          <w:tcPr>
            <w:tcW w:w="3155" w:type="dxa"/>
            <w:tcBorders>
              <w:top w:val="single" w:color="auto" w:sz="4" w:space="0"/>
              <w:left w:val="nil"/>
              <w:bottom w:val="single" w:color="auto" w:sz="12"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コミュニティ機材、備品等の整備</w:t>
            </w:r>
          </w:p>
        </w:tc>
        <w:tc>
          <w:tcPr>
            <w:tcW w:w="4499" w:type="dxa"/>
            <w:tcBorders>
              <w:top w:val="single" w:color="auto" w:sz="4" w:space="0"/>
              <w:left w:val="nil"/>
              <w:bottom w:val="single" w:color="auto" w:sz="12" w:space="0"/>
              <w:right w:val="single" w:color="auto" w:sz="8"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テント、発電機、テーブル、イス、放送機器、芝刈機など</w:t>
            </w:r>
          </w:p>
        </w:tc>
      </w:tr>
      <w:tr>
        <w:trPr>
          <w:trHeight w:val="510" w:hRule="atLeast"/>
        </w:trPr>
        <w:tc>
          <w:tcPr>
            <w:tcW w:w="866" w:type="dxa"/>
            <w:tcBorders>
              <w:top w:val="single" w:color="auto" w:sz="12" w:space="0"/>
              <w:left w:val="single" w:color="auto" w:sz="8"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Ｈ３０</w:t>
            </w:r>
          </w:p>
        </w:tc>
        <w:tc>
          <w:tcPr>
            <w:tcW w:w="1134" w:type="dxa"/>
            <w:tcBorders>
              <w:top w:val="single" w:color="auto" w:sz="12"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町内会</w:t>
            </w:r>
          </w:p>
        </w:tc>
        <w:tc>
          <w:tcPr>
            <w:tcW w:w="3155" w:type="dxa"/>
            <w:tcBorders>
              <w:top w:val="single" w:color="auto" w:sz="12"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コミュニティ活動備品の整備</w:t>
            </w:r>
          </w:p>
        </w:tc>
        <w:tc>
          <w:tcPr>
            <w:tcW w:w="4499" w:type="dxa"/>
            <w:tcBorders>
              <w:top w:val="single" w:color="auto" w:sz="12" w:space="0"/>
              <w:left w:val="nil"/>
              <w:bottom w:val="single" w:color="auto" w:sz="4" w:space="0"/>
              <w:right w:val="single" w:color="auto" w:sz="8"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放送・映像機器、メガホン、テント、物置</w:t>
            </w:r>
          </w:p>
        </w:tc>
      </w:tr>
      <w:tr>
        <w:trPr>
          <w:trHeight w:val="510" w:hRule="atLeast"/>
        </w:trPr>
        <w:tc>
          <w:tcPr>
            <w:tcW w:w="866" w:type="dxa"/>
            <w:tcBorders>
              <w:top w:val="single" w:color="auto" w:sz="4" w:space="0"/>
              <w:left w:val="single" w:color="auto" w:sz="8"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Ｒ１</w:t>
            </w:r>
          </w:p>
        </w:tc>
        <w:tc>
          <w:tcPr>
            <w:tcW w:w="1134"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町内会</w:t>
            </w:r>
          </w:p>
        </w:tc>
        <w:tc>
          <w:tcPr>
            <w:tcW w:w="3155"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不採択</w:t>
            </w:r>
          </w:p>
        </w:tc>
        <w:tc>
          <w:tcPr>
            <w:tcW w:w="4499" w:type="dxa"/>
            <w:tcBorders>
              <w:top w:val="single" w:color="auto" w:sz="4" w:space="0"/>
              <w:left w:val="nil"/>
              <w:bottom w:val="single" w:color="auto" w:sz="4" w:space="0"/>
              <w:right w:val="single" w:color="auto" w:sz="8"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申請多数のため抽選の結果不採択となった</w:t>
            </w:r>
          </w:p>
        </w:tc>
      </w:tr>
      <w:tr>
        <w:trPr>
          <w:trHeight w:val="510" w:hRule="atLeast"/>
        </w:trPr>
        <w:tc>
          <w:tcPr>
            <w:tcW w:w="866" w:type="dxa"/>
            <w:tcBorders>
              <w:top w:val="single" w:color="auto" w:sz="4" w:space="0"/>
              <w:left w:val="single" w:color="auto" w:sz="8"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Ｒ２</w:t>
            </w:r>
          </w:p>
        </w:tc>
        <w:tc>
          <w:tcPr>
            <w:tcW w:w="1134"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町内会</w:t>
            </w:r>
          </w:p>
        </w:tc>
        <w:tc>
          <w:tcPr>
            <w:tcW w:w="3155"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コミュニティ活動備品の整備</w:t>
            </w:r>
          </w:p>
        </w:tc>
        <w:tc>
          <w:tcPr>
            <w:tcW w:w="4499" w:type="dxa"/>
            <w:tcBorders>
              <w:top w:val="single" w:color="auto" w:sz="4" w:space="0"/>
              <w:left w:val="nil"/>
              <w:bottom w:val="single" w:color="auto" w:sz="4" w:space="0"/>
              <w:right w:val="single" w:color="auto" w:sz="8"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テント、太鼓、放送設備　他</w:t>
            </w:r>
          </w:p>
        </w:tc>
      </w:tr>
      <w:tr>
        <w:trPr>
          <w:trHeight w:val="510" w:hRule="atLeast"/>
        </w:trPr>
        <w:tc>
          <w:tcPr>
            <w:tcW w:w="866" w:type="dxa"/>
            <w:tcBorders>
              <w:top w:val="single" w:color="auto" w:sz="4" w:space="0"/>
              <w:left w:val="single" w:color="auto" w:sz="8"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Ｒ３</w:t>
            </w:r>
          </w:p>
        </w:tc>
        <w:tc>
          <w:tcPr>
            <w:tcW w:w="1134"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町内会</w:t>
            </w:r>
          </w:p>
        </w:tc>
        <w:tc>
          <w:tcPr>
            <w:tcW w:w="3155"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コミュニティ活動備品の整備</w:t>
            </w:r>
          </w:p>
        </w:tc>
        <w:tc>
          <w:tcPr>
            <w:tcW w:w="4499" w:type="dxa"/>
            <w:tcBorders>
              <w:top w:val="single" w:color="auto" w:sz="4" w:space="0"/>
              <w:left w:val="nil"/>
              <w:bottom w:val="single" w:color="auto" w:sz="4" w:space="0"/>
              <w:right w:val="single" w:color="auto" w:sz="8"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物置、テント、発電機、折りたたみ椅子　他</w:t>
            </w:r>
          </w:p>
        </w:tc>
      </w:tr>
      <w:tr>
        <w:trPr>
          <w:trHeight w:val="510" w:hRule="atLeast"/>
        </w:trPr>
        <w:tc>
          <w:tcPr>
            <w:tcW w:w="866" w:type="dxa"/>
            <w:tcBorders>
              <w:top w:val="single" w:color="auto" w:sz="4" w:space="0"/>
              <w:left w:val="single" w:color="auto" w:sz="8"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Ｒ４</w:t>
            </w:r>
          </w:p>
        </w:tc>
        <w:tc>
          <w:tcPr>
            <w:tcW w:w="1134"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町内会</w:t>
            </w:r>
          </w:p>
        </w:tc>
        <w:tc>
          <w:tcPr>
            <w:tcW w:w="3155"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コミュニティ活動備品の整備</w:t>
            </w:r>
          </w:p>
        </w:tc>
        <w:tc>
          <w:tcPr>
            <w:tcW w:w="4499" w:type="dxa"/>
            <w:tcBorders>
              <w:top w:val="single" w:color="auto" w:sz="4" w:space="0"/>
              <w:left w:val="nil"/>
              <w:bottom w:val="single" w:color="auto" w:sz="4" w:space="0"/>
              <w:right w:val="single" w:color="auto" w:sz="8"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物置、テント、発電機、折りたたみリヤカー　他</w:t>
            </w:r>
          </w:p>
        </w:tc>
      </w:tr>
      <w:tr>
        <w:trPr>
          <w:trHeight w:val="510" w:hRule="atLeast"/>
        </w:trPr>
        <w:tc>
          <w:tcPr>
            <w:tcW w:w="866" w:type="dxa"/>
            <w:tcBorders>
              <w:top w:val="single" w:color="auto" w:sz="4" w:space="0"/>
              <w:left w:val="single" w:color="auto" w:sz="8"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Ｒ５</w:t>
            </w:r>
          </w:p>
        </w:tc>
        <w:tc>
          <w:tcPr>
            <w:tcW w:w="1134"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町内会</w:t>
            </w:r>
          </w:p>
        </w:tc>
        <w:tc>
          <w:tcPr>
            <w:tcW w:w="3155"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コミュニティ活動備品の整備</w:t>
            </w:r>
          </w:p>
        </w:tc>
        <w:tc>
          <w:tcPr>
            <w:tcW w:w="4499" w:type="dxa"/>
            <w:tcBorders>
              <w:top w:val="single" w:color="auto" w:sz="4" w:space="0"/>
              <w:left w:val="nil"/>
              <w:bottom w:val="single" w:color="auto" w:sz="4" w:space="0"/>
              <w:right w:val="single" w:color="auto" w:sz="8"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テント、発電機、折りたたみ会議テーブル　他</w:t>
            </w:r>
          </w:p>
        </w:tc>
      </w:tr>
      <w:tr>
        <w:trPr>
          <w:trHeight w:val="510" w:hRule="atLeast"/>
        </w:trPr>
        <w:tc>
          <w:tcPr>
            <w:tcW w:w="866" w:type="dxa"/>
            <w:tcBorders>
              <w:top w:val="single" w:color="auto" w:sz="4" w:space="0"/>
              <w:left w:val="single" w:color="auto" w:sz="8"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Ｒ６</w:t>
            </w:r>
          </w:p>
        </w:tc>
        <w:tc>
          <w:tcPr>
            <w:tcW w:w="1134"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町内会</w:t>
            </w:r>
          </w:p>
        </w:tc>
        <w:tc>
          <w:tcPr>
            <w:tcW w:w="3155"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コミュニティ活動備品の整備</w:t>
            </w:r>
          </w:p>
        </w:tc>
        <w:tc>
          <w:tcPr>
            <w:tcW w:w="4499" w:type="dxa"/>
            <w:tcBorders>
              <w:top w:val="single" w:color="auto" w:sz="4" w:space="0"/>
              <w:left w:val="nil"/>
              <w:bottom w:val="single" w:color="auto" w:sz="4" w:space="0"/>
              <w:right w:val="single" w:color="auto" w:sz="8"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草刈り機、発電機、ﾎﾟｰﾀﾌﾞﾙ音響セット他</w:t>
            </w:r>
          </w:p>
        </w:tc>
      </w:tr>
      <w:tr>
        <w:trPr>
          <w:trHeight w:val="510" w:hRule="atLeast"/>
        </w:trPr>
        <w:tc>
          <w:tcPr>
            <w:tcW w:w="866" w:type="dxa"/>
            <w:tcBorders>
              <w:top w:val="single" w:color="auto" w:sz="4" w:space="0"/>
              <w:left w:val="single" w:color="auto" w:sz="8"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Ｒ７</w:t>
            </w:r>
          </w:p>
        </w:tc>
        <w:tc>
          <w:tcPr>
            <w:tcW w:w="1134"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町内会</w:t>
            </w:r>
          </w:p>
        </w:tc>
        <w:tc>
          <w:tcPr>
            <w:tcW w:w="3155"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不採択</w:t>
            </w:r>
          </w:p>
        </w:tc>
        <w:tc>
          <w:tcPr>
            <w:tcW w:w="4499" w:type="dxa"/>
            <w:tcBorders>
              <w:top w:val="single" w:color="auto" w:sz="4" w:space="0"/>
              <w:left w:val="nil"/>
              <w:bottom w:val="single" w:color="auto" w:sz="4" w:space="0"/>
              <w:right w:val="single" w:color="auto" w:sz="8"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申請多数のため抽選の結果不採択となった</w:t>
            </w:r>
          </w:p>
        </w:tc>
      </w:tr>
      <w:tr>
        <w:trPr>
          <w:trHeight w:val="510" w:hRule="atLeast"/>
        </w:trPr>
        <w:tc>
          <w:tcPr>
            <w:tcW w:w="866" w:type="dxa"/>
            <w:tcBorders>
              <w:top w:val="single" w:color="auto" w:sz="4" w:space="0"/>
              <w:left w:val="single" w:color="auto" w:sz="8" w:space="0"/>
              <w:bottom w:val="single" w:color="auto" w:sz="8"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center"/>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Ｒ８</w:t>
            </w:r>
          </w:p>
        </w:tc>
        <w:tc>
          <w:tcPr>
            <w:tcW w:w="1134" w:type="dxa"/>
            <w:tcBorders>
              <w:top w:val="single" w:color="auto" w:sz="4" w:space="0"/>
              <w:left w:val="nil"/>
              <w:bottom w:val="single" w:color="auto" w:sz="8"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町内会</w:t>
            </w:r>
          </w:p>
        </w:tc>
        <w:tc>
          <w:tcPr>
            <w:tcW w:w="3155" w:type="dxa"/>
            <w:tcBorders>
              <w:top w:val="single" w:color="auto" w:sz="4" w:space="0"/>
              <w:left w:val="nil"/>
              <w:bottom w:val="single" w:color="auto" w:sz="8" w:space="0"/>
              <w:right w:val="single" w:color="auto" w:sz="4"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コミュニティ活動備品の整備</w:t>
            </w:r>
          </w:p>
        </w:tc>
        <w:tc>
          <w:tcPr>
            <w:tcW w:w="4499" w:type="dxa"/>
            <w:tcBorders>
              <w:top w:val="single" w:color="auto" w:sz="4" w:space="0"/>
              <w:left w:val="nil"/>
              <w:bottom w:val="single" w:color="auto" w:sz="8" w:space="0"/>
              <w:right w:val="single" w:color="auto" w:sz="8" w:space="0"/>
              <w:tl2br w:val="none" w:color="auto" w:sz="0" w:space="0"/>
              <w:tr2bl w:val="none" w:color="auto" w:sz="0" w:space="0"/>
            </w:tcBorders>
            <w:shd w:val="clear" w:color="auto" w:fill="auto"/>
            <w:vAlign w:val="center"/>
          </w:tcPr>
          <w:p>
            <w:pPr>
              <w:pStyle w:val="0"/>
              <w:widowControl w:val="1"/>
              <w:spacing w:line="240" w:lineRule="exact"/>
              <w:jc w:val="left"/>
              <w:rPr>
                <w:rFonts w:hint="default" w:ascii="ＭＳ Ｐゴシック" w:hAnsi="ＭＳ Ｐゴシック" w:eastAsia="ＭＳ Ｐゴシック"/>
                <w:kern w:val="0"/>
                <w:sz w:val="22"/>
              </w:rPr>
            </w:pPr>
            <w:r>
              <w:rPr>
                <w:rFonts w:hint="eastAsia" w:ascii="ＭＳ Ｐゴシック" w:hAnsi="ＭＳ Ｐゴシック" w:eastAsia="ＭＳ Ｐゴシック"/>
                <w:kern w:val="0"/>
                <w:sz w:val="22"/>
              </w:rPr>
              <w:t>テント、太鼓</w:t>
            </w:r>
            <w:bookmarkStart w:id="0" w:name="_GoBack"/>
            <w:bookmarkEnd w:id="0"/>
          </w:p>
        </w:tc>
      </w:tr>
    </w:tbl>
    <w:p>
      <w:pPr>
        <w:pStyle w:val="0"/>
        <w:rPr>
          <w:rFonts w:hint="default" w:ascii="ＭＳ Ｐゴシック" w:hAnsi="ＭＳ Ｐゴシック" w:eastAsia="ＭＳ Ｐゴシック"/>
        </w:rPr>
      </w:pPr>
    </w:p>
    <w:p>
      <w:pPr>
        <w:pStyle w:val="0"/>
        <w:jc w:val="center"/>
        <w:rPr>
          <w:rFonts w:hint="default" w:ascii="ＭＳ Ｐゴシック" w:hAnsi="ＭＳ Ｐゴシック" w:eastAsia="ＭＳ Ｐゴシック"/>
          <w:sz w:val="24"/>
          <w:bdr w:val="single" w:color="auto" w:sz="4" w:space="0"/>
        </w:rPr>
      </w:pPr>
      <w:r>
        <w:rPr>
          <w:rFonts w:hint="eastAsia" w:ascii="ＭＳ Ｐゴシック" w:hAnsi="ＭＳ Ｐゴシック" w:eastAsia="ＭＳ Ｐゴシック"/>
          <w:sz w:val="24"/>
          <w:bdr w:val="single" w:color="auto" w:sz="4" w:space="0"/>
        </w:rPr>
        <w:t>参　考　写　真</w:t>
      </w:r>
    </w:p>
    <w:p>
      <w:pPr>
        <w:pStyle w:val="0"/>
        <w:rPr>
          <w:rFonts w:hint="default" w:ascii="ＭＳ Ｐゴシック" w:hAnsi="ＭＳ Ｐゴシック" w:eastAsia="ＭＳ Ｐゴシック"/>
        </w:rPr>
      </w:pPr>
      <w:r>
        <w:rPr>
          <w:rFonts w:hint="eastAsia"/>
        </w:rPr>
        <mc:AlternateContent>
          <mc:Choice Requires="wps">
            <w:drawing>
              <wp:anchor distT="0" distB="0" distL="203200" distR="203200" simplePos="0" relativeHeight="10" behindDoc="0" locked="0" layoutInCell="1" hidden="0" allowOverlap="1">
                <wp:simplePos x="0" y="0"/>
                <wp:positionH relativeFrom="column">
                  <wp:posOffset>4171950</wp:posOffset>
                </wp:positionH>
                <wp:positionV relativeFrom="paragraph">
                  <wp:posOffset>190500</wp:posOffset>
                </wp:positionV>
                <wp:extent cx="2057400" cy="1424305"/>
                <wp:effectExtent l="0" t="0" r="635" b="63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2057400" cy="142430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rPr>
                              <w:drawing>
                                <wp:inline distT="0" distB="0" distL="203200" distR="203200">
                                  <wp:extent cx="1915795" cy="1294130"/>
                                  <wp:effectExtent l="0" t="0" r="0" b="0"/>
                                  <wp:docPr id="1029" name="オブジェクト 0"/>
                                  <a:graphic>
                                    <a:graphicData uri="http://schemas.openxmlformats.org/drawingml/2006/picture">
                                      <pic:pic xmlns:pic="http://schemas.openxmlformats.org/drawingml/2006/picture">
                                        <pic:nvPicPr>
                                          <pic:cNvPr id="1029" name="オブジェクト 0"/>
                                          <pic:cNvPicPr>
                                            <a:picLocks noChangeAspect="1"/>
                                          </pic:cNvPicPr>
                                        </pic:nvPicPr>
                                        <pic:blipFill>
                                          <a:blip r:embed="rId6"/>
                                          <a:stretch>
                                            <a:fillRect/>
                                          </a:stretch>
                                        </pic:blipFill>
                                        <pic:spPr>
                                          <a:xfrm>
                                            <a:off x="0" y="0"/>
                                            <a:ext cx="1915795" cy="1294130"/>
                                          </a:xfrm>
                                          <a:prstGeom prst="rect">
                                            <a:avLst/>
                                          </a:prstGeom>
                                        </pic:spPr>
                                      </pic:pic>
                                    </a:graphicData>
                                  </a:graphic>
                                </wp:inline>
                              </w:drawing>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0;mso-wrap-distance-left:16pt;width:162pt;height:112.15pt;mso-position-horizontal-relative:text;position:absolute;margin-left:328.5pt;margin-top:15pt;mso-wrap-distance-bottom:0pt;mso-wrap-distance-right:16pt;mso-wrap-distance-top:0pt;" o:spid="_x0000_s1028"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rPr>
                        <w:drawing>
                          <wp:inline distT="0" distB="0" distL="203200" distR="203200">
                            <wp:extent cx="1915795" cy="1294130"/>
                            <wp:effectExtent l="0" t="0" r="0" b="0"/>
                            <wp:docPr id="1029" name="オブジェクト 0"/>
                            <a:graphic xmlns:a="http://schemas.openxmlformats.org/drawingml/2006/main">
                              <a:graphicData uri="http://schemas.openxmlformats.org/drawingml/2006/picture">
                                <pic:pic xmlns:pic="http://schemas.openxmlformats.org/drawingml/2006/picture">
                                  <pic:nvPicPr>
                                    <pic:cNvPr id="1029" name="オブジェクト 0"/>
                                    <pic:cNvPicPr>
                                      <a:picLocks noChangeAspect="1"/>
                                    </pic:cNvPicPr>
                                  </pic:nvPicPr>
                                  <pic:blipFill>
                                    <a:blip r:embed="rId6"/>
                                    <a:stretch>
                                      <a:fillRect/>
                                    </a:stretch>
                                  </pic:blipFill>
                                  <pic:spPr>
                                    <a:xfrm>
                                      <a:off x="0" y="0"/>
                                      <a:ext cx="1915795" cy="1294130"/>
                                    </a:xfrm>
                                    <a:prstGeom prst="rect">
                                      <a:avLst/>
                                    </a:prstGeom>
                                  </pic:spPr>
                                </pic:pic>
                              </a:graphicData>
                            </a:graphic>
                          </wp:inline>
                        </w:drawing>
                      </w:r>
                    </w:p>
                  </w:txbxContent>
                </v:textbox>
                <v:imagedata o:title=""/>
                <w10:wrap type="none" anchorx="text" anchory="text"/>
              </v:shape>
            </w:pict>
          </mc:Fallback>
        </mc:AlternateContent>
      </w:r>
      <w:r>
        <w:rPr>
          <w:rFonts w:hint="eastAsia" w:ascii="ＭＳ Ｐゴシック" w:hAnsi="ＭＳ Ｐゴシック" w:eastAsia="ＭＳ Ｐゴシック"/>
        </w:rPr>
        <w:t>発電機　　　　　　　　　　　　　　　　　　　　テーブル　　　　　　　　　　　　　　　　　　ミーティングチェア</w:t>
      </w:r>
    </w:p>
    <w:p>
      <w:pPr>
        <w:pStyle w:val="0"/>
        <w:rPr>
          <w:rFonts w:hint="default" w:ascii="ＭＳ Ｐゴシック" w:hAnsi="ＭＳ Ｐゴシック" w:eastAsia="ＭＳ Ｐゴシック"/>
        </w:rPr>
      </w:pPr>
      <w:r>
        <w:rPr>
          <w:rFonts w:hint="default" w:ascii="ＭＳ Ｐゴシック" w:hAnsi="ＭＳ Ｐゴシック" w:eastAsia="ＭＳ Ｐゴシック"/>
        </w:rPr>
        <w:drawing>
          <wp:anchor distT="0" distB="0" distL="114300" distR="114300" simplePos="0" relativeHeight="5" behindDoc="0" locked="0" layoutInCell="1" hidden="0" allowOverlap="1">
            <wp:simplePos x="0" y="0"/>
            <wp:positionH relativeFrom="column">
              <wp:posOffset>32385</wp:posOffset>
            </wp:positionH>
            <wp:positionV relativeFrom="paragraph">
              <wp:posOffset>20955</wp:posOffset>
            </wp:positionV>
            <wp:extent cx="1731010" cy="1296670"/>
            <wp:effectExtent l="0" t="0" r="0" b="0"/>
            <wp:wrapNone/>
            <wp:docPr id="1030" name="Picture 1" descr="L:\地域振興係\Ｆ－８－２【補助金】\４．【コミュニティ事業】\④コミュニティ助成関係\平成29年度\実績報告\写真\P8061578-20170806.JPG"/>
            <a:graphic xmlns:a="http://schemas.openxmlformats.org/drawingml/2006/main">
              <a:graphicData uri="http://schemas.openxmlformats.org/drawingml/2006/picture">
                <pic:pic xmlns:pic="http://schemas.openxmlformats.org/drawingml/2006/picture">
                  <pic:nvPicPr>
                    <pic:cNvPr id="1030" name="Picture 1" descr="L:\地域振興係\Ｆ－８－２【補助金】\４．【コミュニティ事業】\④コミュニティ助成関係\平成29年度\実績報告\写真\P8061578-20170806.JPG"/>
                    <pic:cNvPicPr>
                      <a:picLocks noChangeAspect="1" noChangeArrowheads="1"/>
                    </pic:cNvPicPr>
                  </pic:nvPicPr>
                  <pic:blipFill>
                    <a:blip r:embed="rId7"/>
                    <a:stretch>
                      <a:fillRect/>
                    </a:stretch>
                  </pic:blipFill>
                  <pic:spPr>
                    <a:xfrm>
                      <a:off x="0" y="0"/>
                      <a:ext cx="1731010" cy="1296670"/>
                    </a:xfrm>
                    <a:prstGeom prst="rect">
                      <a:avLst/>
                    </a:prstGeom>
                    <a:noFill/>
                    <a:ln>
                      <a:noFill/>
                    </a:ln>
                  </pic:spPr>
                </pic:pic>
              </a:graphicData>
            </a:graphic>
          </wp:anchor>
        </w:drawing>
      </w:r>
      <w:r>
        <w:rPr>
          <w:rFonts w:hint="eastAsia" w:ascii="ＭＳ Ｐゴシック" w:hAnsi="ＭＳ Ｐゴシック" w:eastAsia="ＭＳ Ｐゴシック"/>
        </w:rPr>
        <w:drawing>
          <wp:anchor distT="0" distB="0" distL="114300" distR="114300" simplePos="0" relativeHeight="6" behindDoc="0" locked="0" layoutInCell="1" hidden="0" allowOverlap="1">
            <wp:simplePos x="0" y="0"/>
            <wp:positionH relativeFrom="column">
              <wp:posOffset>2185035</wp:posOffset>
            </wp:positionH>
            <wp:positionV relativeFrom="paragraph">
              <wp:posOffset>20320</wp:posOffset>
            </wp:positionV>
            <wp:extent cx="1727200" cy="1294130"/>
            <wp:effectExtent l="0" t="0" r="0" b="0"/>
            <wp:wrapNone/>
            <wp:docPr id="1031" name="Picture 2" descr="L:\地域振興係\Ｆ－８－２【補助金】\４．【コミュニティ事業】\④コミュニティ助成関係\平成29年度\実績報告\写真\P8051438-20170805.JPG"/>
            <a:graphic xmlns:a="http://schemas.openxmlformats.org/drawingml/2006/main">
              <a:graphicData uri="http://schemas.openxmlformats.org/drawingml/2006/picture">
                <pic:pic xmlns:pic="http://schemas.openxmlformats.org/drawingml/2006/picture">
                  <pic:nvPicPr>
                    <pic:cNvPr id="1031" name="Picture 2" descr="L:\地域振興係\Ｆ－８－２【補助金】\４．【コミュニティ事業】\④コミュニティ助成関係\平成29年度\実績報告\写真\P8051438-20170805.JPG"/>
                    <pic:cNvPicPr>
                      <a:picLocks noChangeAspect="1" noChangeArrowheads="1"/>
                    </pic:cNvPicPr>
                  </pic:nvPicPr>
                  <pic:blipFill>
                    <a:blip r:embed="rId8"/>
                    <a:stretch>
                      <a:fillRect/>
                    </a:stretch>
                  </pic:blipFill>
                  <pic:spPr>
                    <a:xfrm>
                      <a:off x="0" y="0"/>
                      <a:ext cx="1727200" cy="1294130"/>
                    </a:xfrm>
                    <a:prstGeom prst="rect">
                      <a:avLst/>
                    </a:prstGeom>
                    <a:noFill/>
                    <a:ln>
                      <a:noFill/>
                    </a:ln>
                  </pic:spPr>
                </pic:pic>
              </a:graphicData>
            </a:graphic>
          </wp:anchor>
        </w:drawing>
      </w:r>
    </w:p>
    <w:p>
      <w:pPr>
        <w:pStyle w:val="0"/>
        <w:rPr>
          <w:rFonts w:hint="default" w:ascii="ＭＳ Ｐゴシック" w:hAnsi="ＭＳ Ｐゴシック" w:eastAsia="ＭＳ Ｐゴシック"/>
        </w:rPr>
      </w:pPr>
    </w:p>
    <w:p>
      <w:pPr>
        <w:pStyle w:val="0"/>
        <w:rPr>
          <w:rFonts w:hint="default" w:ascii="ＭＳ Ｐゴシック" w:hAnsi="ＭＳ Ｐゴシック" w:eastAsia="ＭＳ Ｐゴシック"/>
        </w:rPr>
      </w:pPr>
    </w:p>
    <w:p>
      <w:pPr>
        <w:pStyle w:val="0"/>
        <w:rPr>
          <w:rFonts w:hint="default" w:ascii="ＭＳ Ｐゴシック" w:hAnsi="ＭＳ Ｐゴシック" w:eastAsia="ＭＳ Ｐゴシック"/>
        </w:rPr>
      </w:pPr>
    </w:p>
    <w:p>
      <w:pPr>
        <w:pStyle w:val="0"/>
        <w:rPr>
          <w:rFonts w:hint="default" w:ascii="ＭＳ Ｐゴシック" w:hAnsi="ＭＳ Ｐゴシック" w:eastAsia="ＭＳ Ｐゴシック"/>
        </w:rPr>
      </w:pPr>
    </w:p>
    <w:p>
      <w:pPr>
        <w:pStyle w:val="0"/>
        <w:rPr>
          <w:rFonts w:hint="default" w:ascii="ＭＳ Ｐゴシック" w:hAnsi="ＭＳ Ｐゴシック" w:eastAsia="ＭＳ Ｐゴシック"/>
        </w:rPr>
      </w:pPr>
    </w:p>
    <w:p>
      <w:pPr>
        <w:pStyle w:val="0"/>
        <w:rPr>
          <w:rFonts w:hint="default" w:ascii="ＭＳ Ｐゴシック" w:hAnsi="ＭＳ Ｐゴシック" w:eastAsia="ＭＳ Ｐゴシック"/>
        </w:rPr>
      </w:pPr>
      <w:r>
        <w:rPr>
          <w:rFonts w:hint="eastAsia" w:ascii="ＭＳ Ｐゴシック" w:hAnsi="ＭＳ Ｐゴシック" w:eastAsia="ＭＳ Ｐゴシック"/>
        </w:rPr>
        <w:drawing>
          <wp:anchor distT="0" distB="0" distL="114300" distR="114300" simplePos="0" relativeHeight="9" behindDoc="0" locked="0" layoutInCell="1" hidden="0" allowOverlap="1">
            <wp:simplePos x="0" y="0"/>
            <wp:positionH relativeFrom="column">
              <wp:posOffset>4327525</wp:posOffset>
            </wp:positionH>
            <wp:positionV relativeFrom="paragraph">
              <wp:posOffset>240030</wp:posOffset>
            </wp:positionV>
            <wp:extent cx="1764030" cy="1321435"/>
            <wp:effectExtent l="0" t="0" r="0" b="0"/>
            <wp:wrapNone/>
            <wp:docPr id="1032" name="Picture 6" descr="L:\地域振興係\Ｆ－８－２【補助金】\４．【コミュニティ事業】\④コミュニティ助成関係\平成29年度\実績報告\写真\P8051449-20170805.JPG"/>
            <a:graphic xmlns:a="http://schemas.openxmlformats.org/drawingml/2006/main">
              <a:graphicData uri="http://schemas.openxmlformats.org/drawingml/2006/picture">
                <pic:pic xmlns:pic="http://schemas.openxmlformats.org/drawingml/2006/picture">
                  <pic:nvPicPr>
                    <pic:cNvPr id="1032" name="Picture 6" descr="L:\地域振興係\Ｆ－８－２【補助金】\４．【コミュニティ事業】\④コミュニティ助成関係\平成29年度\実績報告\写真\P8051449-20170805.JPG"/>
                    <pic:cNvPicPr>
                      <a:picLocks noChangeAspect="1" noChangeArrowheads="1"/>
                    </pic:cNvPicPr>
                  </pic:nvPicPr>
                  <pic:blipFill>
                    <a:blip r:embed="rId9"/>
                    <a:stretch>
                      <a:fillRect/>
                    </a:stretch>
                  </pic:blipFill>
                  <pic:spPr>
                    <a:xfrm>
                      <a:off x="0" y="0"/>
                      <a:ext cx="1764030" cy="1321435"/>
                    </a:xfrm>
                    <a:prstGeom prst="rect">
                      <a:avLst/>
                    </a:prstGeom>
                    <a:noFill/>
                    <a:ln>
                      <a:noFill/>
                    </a:ln>
                  </pic:spPr>
                </pic:pic>
              </a:graphicData>
            </a:graphic>
          </wp:anchor>
        </w:drawing>
      </w:r>
      <w:r>
        <w:rPr>
          <w:rFonts w:hint="eastAsia" w:ascii="ＭＳ Ｐゴシック" w:hAnsi="ＭＳ Ｐゴシック" w:eastAsia="ＭＳ Ｐゴシック"/>
        </w:rPr>
        <w:drawing>
          <wp:anchor distT="0" distB="0" distL="114300" distR="114300" simplePos="0" relativeHeight="8" behindDoc="0" locked="0" layoutInCell="1" hidden="0" allowOverlap="1">
            <wp:simplePos x="0" y="0"/>
            <wp:positionH relativeFrom="column">
              <wp:posOffset>2174875</wp:posOffset>
            </wp:positionH>
            <wp:positionV relativeFrom="paragraph">
              <wp:posOffset>240030</wp:posOffset>
            </wp:positionV>
            <wp:extent cx="1762760" cy="1320800"/>
            <wp:effectExtent l="0" t="0" r="0" b="0"/>
            <wp:wrapNone/>
            <wp:docPr id="1033" name="Picture 5" descr="L:\地域振興係\Ｆ－８－２【補助金】\４．【コミュニティ事業】\④コミュニティ助成関係\平成29年度\実績報告\写真\P8061580-20170806.JPG"/>
            <a:graphic xmlns:a="http://schemas.openxmlformats.org/drawingml/2006/main">
              <a:graphicData uri="http://schemas.openxmlformats.org/drawingml/2006/picture">
                <pic:pic xmlns:pic="http://schemas.openxmlformats.org/drawingml/2006/picture">
                  <pic:nvPicPr>
                    <pic:cNvPr id="1033" name="Picture 5" descr="L:\地域振興係\Ｆ－８－２【補助金】\４．【コミュニティ事業】\④コミュニティ助成関係\平成29年度\実績報告\写真\P8061580-20170806.JPG"/>
                    <pic:cNvPicPr>
                      <a:picLocks noChangeAspect="1" noChangeArrowheads="1"/>
                    </pic:cNvPicPr>
                  </pic:nvPicPr>
                  <pic:blipFill>
                    <a:blip r:embed="rId10"/>
                    <a:stretch>
                      <a:fillRect/>
                    </a:stretch>
                  </pic:blipFill>
                  <pic:spPr>
                    <a:xfrm>
                      <a:off x="0" y="0"/>
                      <a:ext cx="1762760" cy="1320800"/>
                    </a:xfrm>
                    <a:prstGeom prst="rect">
                      <a:avLst/>
                    </a:prstGeom>
                    <a:noFill/>
                    <a:ln>
                      <a:noFill/>
                    </a:ln>
                  </pic:spPr>
                </pic:pic>
              </a:graphicData>
            </a:graphic>
          </wp:anchor>
        </w:drawing>
      </w:r>
      <w:r>
        <w:rPr>
          <w:rFonts w:hint="eastAsia" w:ascii="ＭＳ Ｐゴシック" w:hAnsi="ＭＳ Ｐゴシック" w:eastAsia="ＭＳ Ｐゴシック"/>
        </w:rPr>
        <w:drawing>
          <wp:anchor distT="0" distB="0" distL="114300" distR="114300" simplePos="0" relativeHeight="7" behindDoc="0" locked="0" layoutInCell="1" hidden="0" allowOverlap="1">
            <wp:simplePos x="0" y="0"/>
            <wp:positionH relativeFrom="column">
              <wp:posOffset>22860</wp:posOffset>
            </wp:positionH>
            <wp:positionV relativeFrom="paragraph">
              <wp:posOffset>249555</wp:posOffset>
            </wp:positionV>
            <wp:extent cx="1751965" cy="1312545"/>
            <wp:effectExtent l="0" t="0" r="0" b="0"/>
            <wp:wrapNone/>
            <wp:docPr id="1034" name="Picture 4" descr="L:\地域振興係\Ｆ－８－２【補助金】\４．【コミュニティ事業】\④コミュニティ助成関係\平成29年度\実績報告\写真\P8061513-20170806.JPG"/>
            <a:graphic xmlns:a="http://schemas.openxmlformats.org/drawingml/2006/main">
              <a:graphicData uri="http://schemas.openxmlformats.org/drawingml/2006/picture">
                <pic:pic xmlns:pic="http://schemas.openxmlformats.org/drawingml/2006/picture">
                  <pic:nvPicPr>
                    <pic:cNvPr id="1034" name="Picture 4" descr="L:\地域振興係\Ｆ－８－２【補助金】\４．【コミュニティ事業】\④コミュニティ助成関係\平成29年度\実績報告\写真\P8061513-20170806.JPG"/>
                    <pic:cNvPicPr>
                      <a:picLocks noChangeAspect="1" noChangeArrowheads="1"/>
                    </pic:cNvPicPr>
                  </pic:nvPicPr>
                  <pic:blipFill>
                    <a:blip r:embed="rId11"/>
                    <a:stretch>
                      <a:fillRect/>
                    </a:stretch>
                  </pic:blipFill>
                  <pic:spPr>
                    <a:xfrm>
                      <a:off x="0" y="0"/>
                      <a:ext cx="1751965" cy="1312545"/>
                    </a:xfrm>
                    <a:prstGeom prst="rect">
                      <a:avLst/>
                    </a:prstGeom>
                    <a:noFill/>
                    <a:ln>
                      <a:noFill/>
                    </a:ln>
                  </pic:spPr>
                </pic:pic>
              </a:graphicData>
            </a:graphic>
          </wp:anchor>
        </w:drawing>
      </w:r>
      <w:r>
        <w:rPr>
          <w:rFonts w:hint="eastAsia" w:ascii="ＭＳ Ｐゴシック" w:hAnsi="ＭＳ Ｐゴシック" w:eastAsia="ＭＳ Ｐゴシック"/>
        </w:rPr>
        <w:t>放送機器　　　　　　　　　　　　　　　　　　</w:t>
      </w:r>
      <w:r>
        <w:rPr>
          <w:rFonts w:hint="eastAsia" w:ascii="ＭＳ Ｐゴシック" w:hAnsi="ＭＳ Ｐゴシック" w:eastAsia="ＭＳ Ｐゴシック"/>
        </w:rPr>
        <w:t xml:space="preserve"> </w:t>
      </w:r>
      <w:r>
        <w:rPr>
          <w:rFonts w:hint="eastAsia" w:ascii="ＭＳ Ｐゴシック" w:hAnsi="ＭＳ Ｐゴシック" w:eastAsia="ＭＳ Ｐゴシック"/>
        </w:rPr>
        <w:t>芝刈機　　　　　　　　　　　　　　　　　　　綿菓子機</w:t>
      </w:r>
    </w:p>
    <w:sectPr>
      <w:pgSz w:w="11906" w:h="16838"/>
      <w:pgMar w:top="851" w:right="1134" w:bottom="567"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Ｐゴシック">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Balloon Text"/>
    <w:basedOn w:val="0"/>
    <w:next w:val="16"/>
    <w:link w:val="17"/>
    <w:uiPriority w:val="0"/>
    <w:semiHidden/>
    <w:rPr>
      <w:rFonts w:asciiTheme="majorHAnsi" w:hAnsiTheme="majorHAnsi" w:eastAsiaTheme="majorEastAsia"/>
      <w:sz w:val="18"/>
    </w:rPr>
  </w:style>
  <w:style w:type="character" w:styleId="17" w:customStyle="1">
    <w:name w:val="吹き出し (文字)"/>
    <w:basedOn w:val="10"/>
    <w:next w:val="17"/>
    <w:link w:val="16"/>
    <w:uiPriority w:val="0"/>
    <w:rPr>
      <w:rFonts w:asciiTheme="majorHAnsi" w:hAnsiTheme="majorHAnsi" w:eastAsiaTheme="majorEastAsia"/>
      <w:sz w:val="18"/>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jpg" /><Relationship Id="rId6" Type="http://schemas.openxmlformats.org/officeDocument/2006/relationships/image" Target="media/image2.jpg" /><Relationship Id="rId7" Type="http://schemas.openxmlformats.org/officeDocument/2006/relationships/image" Target="media/image3.jpg" /><Relationship Id="rId8" Type="http://schemas.openxmlformats.org/officeDocument/2006/relationships/image" Target="media/image4.jpg" /><Relationship Id="rId9" Type="http://schemas.openxmlformats.org/officeDocument/2006/relationships/image" Target="media/image5.jpg" /><Relationship Id="rId10" Type="http://schemas.openxmlformats.org/officeDocument/2006/relationships/image" Target="media/image6.jpg" /><Relationship Id="rId11" Type="http://schemas.openxmlformats.org/officeDocument/2006/relationships/image" Target="media/image7.jpg" /><Relationship Id="rId12"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418</TotalTime>
  <Pages>2</Pages>
  <Words>3</Words>
  <Characters>1662</Characters>
  <Application>JUST Note</Application>
  <Lines>134</Lines>
  <Paragraphs>101</Paragraphs>
  <CharactersWithSpaces>1771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工藤　光司</dc:creator>
  <cp:lastModifiedBy>水戸部　諒</cp:lastModifiedBy>
  <cp:lastPrinted>2025-09-09T08:04:13Z</cp:lastPrinted>
  <dcterms:created xsi:type="dcterms:W3CDTF">2022-08-31T01:51:00Z</dcterms:created>
  <dcterms:modified xsi:type="dcterms:W3CDTF">2025-09-09T08:04:48Z</dcterms:modified>
  <cp:revision>22</cp:revision>
</cp:coreProperties>
</file>